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0E55E5">
        <w:rPr>
          <w:rFonts w:ascii="Palatino Linotype" w:hAnsi="Palatino Linotype" w:cs="Arial"/>
          <w:b/>
          <w:bCs/>
          <w:sz w:val="23"/>
          <w:szCs w:val="23"/>
        </w:rPr>
        <w:t>3877</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505D79" w:rsidRPr="00505D79" w:rsidRDefault="00E6179D">
          <w:pPr>
            <w:pStyle w:val="TDC1"/>
            <w:rPr>
              <w:rFonts w:eastAsiaTheme="minorEastAsia"/>
              <w:b w:val="0"/>
              <w:sz w:val="24"/>
              <w:szCs w:val="24"/>
              <w:lang w:eastAsia="es-MX"/>
            </w:rPr>
          </w:pPr>
          <w:r w:rsidRPr="00505D79">
            <w:rPr>
              <w:sz w:val="24"/>
              <w:szCs w:val="24"/>
            </w:rPr>
            <w:fldChar w:fldCharType="begin"/>
          </w:r>
          <w:r w:rsidRPr="00505D79">
            <w:rPr>
              <w:sz w:val="24"/>
              <w:szCs w:val="24"/>
            </w:rPr>
            <w:instrText xml:space="preserve"> TOC \o "1-3" \h \z \u </w:instrText>
          </w:r>
          <w:r w:rsidRPr="00505D79">
            <w:rPr>
              <w:sz w:val="24"/>
              <w:szCs w:val="24"/>
            </w:rPr>
            <w:fldChar w:fldCharType="separate"/>
          </w:r>
          <w:hyperlink w:anchor="_Toc532211671" w:history="1">
            <w:r w:rsidR="00505D79" w:rsidRPr="00505D79">
              <w:rPr>
                <w:rStyle w:val="Hipervnculo"/>
                <w:rFonts w:eastAsia="Times New Roman"/>
                <w:sz w:val="24"/>
                <w:szCs w:val="24"/>
              </w:rPr>
              <w:t>I.</w:t>
            </w:r>
            <w:r w:rsidR="00505D79" w:rsidRPr="00505D79">
              <w:rPr>
                <w:rFonts w:eastAsiaTheme="minorEastAsia"/>
                <w:b w:val="0"/>
                <w:sz w:val="24"/>
                <w:szCs w:val="24"/>
                <w:lang w:eastAsia="es-MX"/>
              </w:rPr>
              <w:tab/>
            </w:r>
            <w:r w:rsidR="00505D79" w:rsidRPr="00505D79">
              <w:rPr>
                <w:rStyle w:val="Hipervnculo"/>
                <w:rFonts w:eastAsia="Times New Roman"/>
                <w:sz w:val="24"/>
                <w:szCs w:val="24"/>
              </w:rPr>
              <w:t>Consideraciones Generales</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_Toc532211671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w:t>
            </w:r>
            <w:r w:rsidR="00505D79" w:rsidRPr="00505D79">
              <w:rPr>
                <w:webHidden/>
                <w:sz w:val="24"/>
                <w:szCs w:val="24"/>
              </w:rPr>
              <w:fldChar w:fldCharType="end"/>
            </w:r>
          </w:hyperlink>
        </w:p>
        <w:p w:rsidR="00505D79" w:rsidRPr="00505D79" w:rsidRDefault="00802039">
          <w:pPr>
            <w:pStyle w:val="TDC1"/>
            <w:rPr>
              <w:rFonts w:eastAsiaTheme="minorEastAsia"/>
              <w:b w:val="0"/>
              <w:sz w:val="24"/>
              <w:szCs w:val="24"/>
              <w:lang w:eastAsia="es-MX"/>
            </w:rPr>
          </w:pPr>
          <w:hyperlink w:anchor="_Toc532211672" w:history="1">
            <w:r w:rsidR="00505D79" w:rsidRPr="00505D79">
              <w:rPr>
                <w:rStyle w:val="Hipervnculo"/>
                <w:rFonts w:eastAsia="Calibri"/>
                <w:sz w:val="24"/>
                <w:szCs w:val="24"/>
                <w:lang w:val="es-ES"/>
              </w:rPr>
              <w:t>II.</w:t>
            </w:r>
            <w:r w:rsidR="00505D79" w:rsidRPr="00505D79">
              <w:rPr>
                <w:rFonts w:eastAsiaTheme="minorEastAsia"/>
                <w:b w:val="0"/>
                <w:sz w:val="24"/>
                <w:szCs w:val="24"/>
                <w:lang w:eastAsia="es-MX"/>
              </w:rPr>
              <w:tab/>
            </w:r>
            <w:r w:rsidR="00505D79" w:rsidRPr="00505D79">
              <w:rPr>
                <w:rStyle w:val="Hipervnculo"/>
                <w:rFonts w:eastAsia="Calibri"/>
                <w:sz w:val="24"/>
                <w:szCs w:val="24"/>
                <w:lang w:val="es-ES"/>
              </w:rPr>
              <w:t>De los requerimientos planteados en el recurso de revisión.</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_Toc532211672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2</w:t>
            </w:r>
            <w:r w:rsidR="00505D79" w:rsidRPr="00505D79">
              <w:rPr>
                <w:webHidden/>
                <w:sz w:val="24"/>
                <w:szCs w:val="24"/>
              </w:rPr>
              <w:fldChar w:fldCharType="end"/>
            </w:r>
          </w:hyperlink>
        </w:p>
        <w:p w:rsidR="00505D79" w:rsidRPr="00505D79" w:rsidRDefault="00802039">
          <w:pPr>
            <w:pStyle w:val="TDC2"/>
            <w:rPr>
              <w:rFonts w:ascii="Palatino Linotype" w:eastAsiaTheme="minorEastAsia" w:hAnsi="Palatino Linotype"/>
              <w:noProof/>
              <w:sz w:val="24"/>
              <w:szCs w:val="24"/>
              <w:lang w:eastAsia="es-MX"/>
            </w:rPr>
          </w:pPr>
          <w:hyperlink w:anchor="_Toc532211673" w:history="1">
            <w:r w:rsidR="00505D79" w:rsidRPr="00505D79">
              <w:rPr>
                <w:rStyle w:val="Hipervnculo"/>
                <w:rFonts w:ascii="Palatino Linotype" w:hAnsi="Palatino Linotype"/>
                <w:b/>
                <w:noProof/>
                <w:sz w:val="24"/>
                <w:szCs w:val="24"/>
              </w:rPr>
              <w:t>III. Del Derecho de Acceso a la información pública y el deber de motivar.</w:t>
            </w:r>
            <w:r w:rsidR="00505D79" w:rsidRPr="00505D79">
              <w:rPr>
                <w:rFonts w:ascii="Palatino Linotype" w:hAnsi="Palatino Linotype"/>
                <w:noProof/>
                <w:webHidden/>
                <w:sz w:val="24"/>
                <w:szCs w:val="24"/>
              </w:rPr>
              <w:tab/>
            </w:r>
            <w:r w:rsidR="00505D79" w:rsidRPr="00505D79">
              <w:rPr>
                <w:rFonts w:ascii="Palatino Linotype" w:hAnsi="Palatino Linotype"/>
                <w:noProof/>
                <w:webHidden/>
                <w:sz w:val="24"/>
                <w:szCs w:val="24"/>
              </w:rPr>
              <w:fldChar w:fldCharType="begin"/>
            </w:r>
            <w:r w:rsidR="00505D79" w:rsidRPr="00505D79">
              <w:rPr>
                <w:rFonts w:ascii="Palatino Linotype" w:hAnsi="Palatino Linotype"/>
                <w:noProof/>
                <w:webHidden/>
                <w:sz w:val="24"/>
                <w:szCs w:val="24"/>
              </w:rPr>
              <w:instrText xml:space="preserve"> PAGEREF _Toc532211673 \h </w:instrText>
            </w:r>
            <w:r w:rsidR="00505D79" w:rsidRPr="00505D79">
              <w:rPr>
                <w:rFonts w:ascii="Palatino Linotype" w:hAnsi="Palatino Linotype"/>
                <w:noProof/>
                <w:webHidden/>
                <w:sz w:val="24"/>
                <w:szCs w:val="24"/>
              </w:rPr>
            </w:r>
            <w:r w:rsidR="00505D79" w:rsidRPr="00505D79">
              <w:rPr>
                <w:rFonts w:ascii="Palatino Linotype" w:hAnsi="Palatino Linotype"/>
                <w:noProof/>
                <w:webHidden/>
                <w:sz w:val="24"/>
                <w:szCs w:val="24"/>
              </w:rPr>
              <w:fldChar w:fldCharType="separate"/>
            </w:r>
            <w:r w:rsidR="00505D79" w:rsidRPr="00505D79">
              <w:rPr>
                <w:rFonts w:ascii="Palatino Linotype" w:hAnsi="Palatino Linotype"/>
                <w:noProof/>
                <w:webHidden/>
                <w:sz w:val="24"/>
                <w:szCs w:val="24"/>
              </w:rPr>
              <w:t>5</w:t>
            </w:r>
            <w:r w:rsidR="00505D79" w:rsidRPr="00505D79">
              <w:rPr>
                <w:rFonts w:ascii="Palatino Linotype" w:hAnsi="Palatino Linotype"/>
                <w:noProof/>
                <w:webHidden/>
                <w:sz w:val="24"/>
                <w:szCs w:val="24"/>
              </w:rPr>
              <w:fldChar w:fldCharType="end"/>
            </w:r>
          </w:hyperlink>
        </w:p>
        <w:p w:rsidR="00505D79" w:rsidRPr="00505D79" w:rsidRDefault="00802039">
          <w:pPr>
            <w:pStyle w:val="TDC1"/>
            <w:rPr>
              <w:rFonts w:eastAsiaTheme="minorEastAsia"/>
              <w:b w:val="0"/>
              <w:sz w:val="24"/>
              <w:szCs w:val="24"/>
              <w:lang w:eastAsia="es-MX"/>
            </w:rPr>
          </w:pPr>
          <w:hyperlink w:anchor="_Toc532211674" w:history="1">
            <w:r w:rsidR="00505D79" w:rsidRPr="00505D79">
              <w:rPr>
                <w:rStyle w:val="Hipervnculo"/>
                <w:rFonts w:eastAsia="Calibri"/>
                <w:sz w:val="24"/>
                <w:szCs w:val="24"/>
              </w:rPr>
              <w:t>IV. Del Pronunciamiento simple</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_Toc532211674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10</w:t>
            </w:r>
            <w:r w:rsidR="00505D79" w:rsidRPr="00505D79">
              <w:rPr>
                <w:webHidden/>
                <w:sz w:val="24"/>
                <w:szCs w:val="24"/>
              </w:rPr>
              <w:fldChar w:fldCharType="end"/>
            </w:r>
          </w:hyperlink>
        </w:p>
        <w:p w:rsidR="00505D79" w:rsidRPr="00505D79" w:rsidRDefault="00802039">
          <w:pPr>
            <w:pStyle w:val="TDC1"/>
            <w:rPr>
              <w:rFonts w:eastAsiaTheme="minorEastAsia"/>
              <w:b w:val="0"/>
              <w:sz w:val="24"/>
              <w:szCs w:val="24"/>
              <w:lang w:eastAsia="es-MX"/>
            </w:rPr>
          </w:pPr>
          <w:hyperlink w:anchor="_Toc532211675" w:history="1">
            <w:r w:rsidR="00505D79" w:rsidRPr="00505D79">
              <w:rPr>
                <w:rStyle w:val="Hipervnculo"/>
                <w:rFonts w:eastAsia="Calibri"/>
                <w:sz w:val="24"/>
                <w:szCs w:val="24"/>
              </w:rPr>
              <w:t>V. Conclusión.</w:t>
            </w:r>
            <w:r w:rsidR="00505D79" w:rsidRPr="00505D79">
              <w:rPr>
                <w:webHidden/>
                <w:sz w:val="24"/>
                <w:szCs w:val="24"/>
              </w:rPr>
              <w:tab/>
            </w:r>
            <w:r w:rsidR="00505D79" w:rsidRPr="00505D79">
              <w:rPr>
                <w:webHidden/>
                <w:sz w:val="24"/>
                <w:szCs w:val="24"/>
              </w:rPr>
              <w:fldChar w:fldCharType="begin"/>
            </w:r>
            <w:r w:rsidR="00505D79" w:rsidRPr="00505D79">
              <w:rPr>
                <w:webHidden/>
                <w:sz w:val="24"/>
                <w:szCs w:val="24"/>
              </w:rPr>
              <w:instrText xml:space="preserve"> PAGEREF _Toc532211675 \h </w:instrText>
            </w:r>
            <w:r w:rsidR="00505D79" w:rsidRPr="00505D79">
              <w:rPr>
                <w:webHidden/>
                <w:sz w:val="24"/>
                <w:szCs w:val="24"/>
              </w:rPr>
            </w:r>
            <w:r w:rsidR="00505D79" w:rsidRPr="00505D79">
              <w:rPr>
                <w:webHidden/>
                <w:sz w:val="24"/>
                <w:szCs w:val="24"/>
              </w:rPr>
              <w:fldChar w:fldCharType="separate"/>
            </w:r>
            <w:r w:rsidR="00505D79" w:rsidRPr="00505D79">
              <w:rPr>
                <w:webHidden/>
                <w:sz w:val="24"/>
                <w:szCs w:val="24"/>
              </w:rPr>
              <w:t>17</w:t>
            </w:r>
            <w:r w:rsidR="00505D79" w:rsidRPr="00505D79">
              <w:rPr>
                <w:webHidden/>
                <w:sz w:val="24"/>
                <w:szCs w:val="24"/>
              </w:rPr>
              <w:fldChar w:fldCharType="end"/>
            </w:r>
          </w:hyperlink>
        </w:p>
        <w:p w:rsidR="00E6179D" w:rsidRPr="00505D79" w:rsidRDefault="00E6179D" w:rsidP="00B73B30">
          <w:pPr>
            <w:spacing w:line="360" w:lineRule="auto"/>
            <w:rPr>
              <w:rFonts w:ascii="Palatino Linotype" w:hAnsi="Palatino Linotype"/>
              <w:sz w:val="24"/>
              <w:szCs w:val="24"/>
            </w:rPr>
          </w:pPr>
          <w:r w:rsidRPr="00505D79">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1167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re</w:t>
      </w:r>
      <w:bookmarkStart w:id="1" w:name="_GoBack"/>
      <w:bookmarkEnd w:id="1"/>
      <w:r w:rsidRPr="00427B79">
        <w:rPr>
          <w:rFonts w:ascii="Palatino Linotype" w:eastAsia="Calibri" w:hAnsi="Palatino Linotype" w:cs="Arial"/>
          <w:sz w:val="24"/>
          <w:szCs w:val="24"/>
        </w:rPr>
        <w:t xml:space="preserv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F0970">
        <w:rPr>
          <w:rFonts w:ascii="Palatino Linotype" w:hAnsi="Palatino Linotype"/>
          <w:b/>
        </w:rPr>
        <w:t xml:space="preserve"> la </w:t>
      </w:r>
      <w:r w:rsidR="000F0970" w:rsidRPr="00294EAD">
        <w:rPr>
          <w:rFonts w:ascii="Palatino Linotype" w:hAnsi="Palatino Linotype"/>
          <w:b/>
        </w:rPr>
        <w:t xml:space="preserve">C. </w:t>
      </w:r>
      <w:r w:rsidR="00802039" w:rsidRPr="00802039">
        <w:rPr>
          <w:rFonts w:ascii="Palatino Linotype" w:hAnsi="Palatino Linotype"/>
          <w:b/>
          <w:highlight w:val="black"/>
          <w:lang w:val="es-ES_tradnl"/>
        </w:rPr>
        <w:t>---------------------------------------------</w:t>
      </w:r>
      <w:r w:rsidR="00554B28">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0F0970" w:rsidRPr="000F0970">
        <w:rPr>
          <w:rFonts w:ascii="Palatino Linotype" w:hAnsi="Palatino Linotype"/>
          <w:b/>
        </w:rPr>
        <w:t xml:space="preserve"> </w:t>
      </w:r>
      <w:r w:rsidR="000F0970" w:rsidRPr="00294EAD">
        <w:rPr>
          <w:rFonts w:ascii="Palatino Linotype" w:hAnsi="Palatino Linotype"/>
          <w:b/>
        </w:rPr>
        <w:t>Ayuntamiento de Ixtapaluca</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0F0970">
        <w:rPr>
          <w:rFonts w:ascii="Palatino Linotype" w:hAnsi="Palatino Linotype" w:cs="Arial"/>
          <w:b/>
          <w:bCs/>
          <w:sz w:val="23"/>
          <w:szCs w:val="23"/>
        </w:rPr>
        <w:t>3877</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DA127D">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3221167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DA127D" w:rsidRPr="00DA127D">
        <w:rPr>
          <w:rFonts w:ascii="Palatino Linotype" w:hAnsi="Palatino Linotype"/>
          <w:b/>
        </w:rPr>
        <w:t xml:space="preserve"> </w:t>
      </w:r>
      <w:r w:rsidR="00DA127D" w:rsidRPr="00294EAD">
        <w:rPr>
          <w:rFonts w:ascii="Palatino Linotype" w:hAnsi="Palatino Linotype"/>
          <w:b/>
        </w:rPr>
        <w:t>Ayuntamiento de Ixtapaluca</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2609E4" w:rsidRPr="00294EAD" w:rsidRDefault="002609E4" w:rsidP="002609E4">
      <w:pPr>
        <w:spacing w:before="120" w:after="120"/>
        <w:ind w:left="851" w:right="902"/>
        <w:jc w:val="both"/>
        <w:rPr>
          <w:rFonts w:ascii="Palatino Linotype" w:hAnsi="Palatino Linotype"/>
          <w:i/>
        </w:rPr>
      </w:pPr>
      <w:r w:rsidRPr="00294EAD">
        <w:rPr>
          <w:rFonts w:ascii="Palatino Linotype" w:hAnsi="Palatino Linotype" w:cs="Arial"/>
          <w:i/>
        </w:rPr>
        <w:t xml:space="preserve">“1.- Las boletas de control de la transferencia de Residuos sólidos urbanos, del periodo comprendido entre los años 2016 a 2018. 2.- </w:t>
      </w:r>
      <w:proofErr w:type="gramStart"/>
      <w:r w:rsidRPr="00294EAD">
        <w:rPr>
          <w:rFonts w:ascii="Palatino Linotype" w:hAnsi="Palatino Linotype" w:cs="Arial"/>
          <w:i/>
        </w:rPr>
        <w:t>¿</w:t>
      </w:r>
      <w:proofErr w:type="gramEnd"/>
      <w:r w:rsidRPr="00294EAD">
        <w:rPr>
          <w:rFonts w:ascii="Palatino Linotype" w:hAnsi="Palatino Linotype" w:cs="Arial"/>
          <w:i/>
        </w:rPr>
        <w:t xml:space="preserve">Cuál es el costo por el depósito de Residuos Sólidos en los rellenos sanitarios "El Milagro" y "La </w:t>
      </w:r>
      <w:r w:rsidRPr="00294EAD">
        <w:rPr>
          <w:rFonts w:ascii="Palatino Linotype" w:hAnsi="Palatino Linotype" w:cs="Arial"/>
          <w:i/>
        </w:rPr>
        <w:lastRenderedPageBreak/>
        <w:t xml:space="preserve">Cañada", en el periodo de los meses de julio y agosto del año 2018. 3.- Estudio de impacto ambiental del relleno sanitario "El Milagro", perteneciente a la empresa TECNOSILICATOS DE MÉXICO S.A. DE C.V. 4.- Estudio de impacto ambiental del relleno sanitario "La Cañada", perteneciente a la empresa CONCENTRADORA DE RESIDUOS MEXICANOS S.A. DE C.V. 5.- Escrito de concesión que se realizó con la empresa TECNOSILICATOS DE MÉXICO S.A. DE C.V. para el depósito de residuos sólidos del Municipio de Ixtapaluca, en el relleno sanitario "El Milagro". 6.- Escrito de concesión que se realizó con la empresa CONCENTRADORA DE RESIDUOS MEXICANOS S.A. DE C.V. para el depósito de residuos sólidos del Municipio de Ixtapaluca, en el relleno sanitario "La Cañada".” </w:t>
      </w:r>
      <w:r w:rsidRPr="00294EAD">
        <w:rPr>
          <w:rFonts w:ascii="Palatino Linotype" w:hAnsi="Palatino Linotype"/>
          <w:i/>
        </w:rPr>
        <w:t>(Sic)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F56870">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2609E4" w:rsidRPr="002609E4">
        <w:rPr>
          <w:rFonts w:ascii="Palatino Linotype" w:hAnsi="Palatino Linotype"/>
          <w:b/>
        </w:rPr>
        <w:t xml:space="preserve"> </w:t>
      </w:r>
      <w:r w:rsidR="002609E4" w:rsidRPr="00294EAD">
        <w:rPr>
          <w:rFonts w:ascii="Palatino Linotype" w:hAnsi="Palatino Linotype"/>
          <w:b/>
        </w:rPr>
        <w:t>Ayuntamiento de Ixtapaluca</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691120"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 xml:space="preserve">l </w:t>
      </w:r>
      <w:r w:rsidR="002609E4" w:rsidRPr="00294EAD">
        <w:rPr>
          <w:rFonts w:ascii="Palatino Linotype" w:hAnsi="Palatino Linotype"/>
          <w:b/>
        </w:rPr>
        <w:t>Ayuntamiento de Ixtapaluca</w:t>
      </w:r>
      <w:r w:rsidR="005C253D">
        <w:rPr>
          <w:rFonts w:ascii="Palatino Linotype" w:hAnsi="Palatino Linotype" w:cs="Arial"/>
          <w:b/>
          <w:sz w:val="24"/>
          <w:szCs w:val="24"/>
        </w:rPr>
        <w:t xml:space="preserve"> </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691120" w:rsidRPr="00691120" w:rsidRDefault="00691120" w:rsidP="00691120">
      <w:pPr>
        <w:pStyle w:val="Prrafodelista"/>
        <w:rPr>
          <w:rFonts w:ascii="Palatino Linotype" w:hAnsi="Palatino Linotype"/>
          <w:sz w:val="24"/>
          <w:szCs w:val="24"/>
        </w:rPr>
      </w:pP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647B4" w:rsidRPr="00294EAD" w:rsidRDefault="005647B4" w:rsidP="005647B4">
      <w:pPr>
        <w:spacing w:before="240" w:after="240"/>
        <w:ind w:left="567" w:right="899" w:hanging="141"/>
        <w:jc w:val="both"/>
        <w:rPr>
          <w:rFonts w:ascii="Palatino Linotype" w:eastAsia="Calibri" w:hAnsi="Palatino Linotype" w:cs="Arial"/>
          <w:i/>
        </w:rPr>
      </w:pPr>
      <w:r w:rsidRPr="00294EAD">
        <w:rPr>
          <w:rFonts w:ascii="Palatino Linotype" w:eastAsia="Calibri" w:hAnsi="Palatino Linotype" w:cs="Arial"/>
          <w:i/>
        </w:rPr>
        <w:lastRenderedPageBreak/>
        <w:t xml:space="preserve">“a) El Acuerdo que emita el Comité de Transparencia en el que confirme la declaración de incompetencia del </w:t>
      </w:r>
      <w:r w:rsidRPr="00294EAD">
        <w:rPr>
          <w:rFonts w:ascii="Palatino Linotype" w:eastAsia="Calibri" w:hAnsi="Palatino Linotype" w:cs="Arial"/>
          <w:b/>
          <w:i/>
        </w:rPr>
        <w:t>SUJETO OBLIGADO</w:t>
      </w:r>
      <w:r w:rsidRPr="00294EAD">
        <w:rPr>
          <w:rFonts w:ascii="Palatino Linotype" w:eastAsia="Calibri" w:hAnsi="Palatino Linotype" w:cs="Arial"/>
          <w:i/>
        </w:rPr>
        <w:t xml:space="preserve"> respecto del estudio de impacto ambiental de los rellenos sanitarios referidos en la solicitud de mérito.</w:t>
      </w:r>
    </w:p>
    <w:p w:rsidR="005647B4" w:rsidRPr="00294EAD" w:rsidRDefault="005647B4" w:rsidP="005647B4">
      <w:pPr>
        <w:spacing w:before="240" w:after="240"/>
        <w:ind w:left="567" w:right="899"/>
        <w:jc w:val="both"/>
        <w:rPr>
          <w:rFonts w:ascii="Palatino Linotype" w:eastAsia="Calibri" w:hAnsi="Palatino Linotype" w:cs="Arial"/>
          <w:i/>
        </w:rPr>
      </w:pPr>
      <w:r w:rsidRPr="00294EAD">
        <w:rPr>
          <w:rFonts w:ascii="Palatino Linotype" w:eastAsia="Calibri" w:hAnsi="Palatino Linotype" w:cs="Arial"/>
          <w:i/>
        </w:rPr>
        <w:t>b) Previa búsqueda exhaustiva y razonable, las concesiones otorgadas a las empresas referidas en la solicitud de mérito, para el depósito de residuos sólidos en los rellenos indicados, en versión pública.</w:t>
      </w:r>
    </w:p>
    <w:p w:rsidR="005647B4" w:rsidRPr="00294EAD" w:rsidRDefault="005647B4" w:rsidP="005647B4">
      <w:pPr>
        <w:spacing w:before="240" w:after="240"/>
        <w:ind w:left="567" w:right="899"/>
        <w:jc w:val="both"/>
        <w:rPr>
          <w:rFonts w:ascii="Palatino Linotype" w:eastAsia="Calibri" w:hAnsi="Palatino Linotype" w:cs="Arial"/>
          <w:i/>
        </w:rPr>
      </w:pPr>
      <w:r w:rsidRPr="00294EAD">
        <w:rPr>
          <w:rFonts w:ascii="Palatino Linotype" w:hAnsi="Palatino Linotype" w:cs="Arial"/>
          <w:i/>
          <w:color w:val="000000" w:themeColor="text1"/>
        </w:rPr>
        <w:t xml:space="preserve">Debiendo notificar a </w:t>
      </w:r>
      <w:r w:rsidRPr="00294EAD">
        <w:rPr>
          <w:rFonts w:ascii="Palatino Linotype" w:hAnsi="Palatino Linotype" w:cs="Arial"/>
          <w:b/>
          <w:i/>
          <w:color w:val="000000" w:themeColor="text1"/>
        </w:rPr>
        <w:t>LA RECURRENTE</w:t>
      </w:r>
      <w:r w:rsidRPr="00294EAD">
        <w:rPr>
          <w:rFonts w:ascii="Palatino Linotype" w:hAnsi="Palatino Linotype" w:cs="Arial"/>
          <w:i/>
          <w:color w:val="000000" w:themeColor="text1"/>
        </w:rPr>
        <w:t xml:space="preserve"> el Acuerdo de Clasificación de la información, que apruebe el Comité de Transparencia con motivo de la versión pública.</w:t>
      </w:r>
    </w:p>
    <w:p w:rsidR="005647B4" w:rsidRPr="00294EAD" w:rsidRDefault="005647B4" w:rsidP="005647B4">
      <w:pPr>
        <w:spacing w:before="240" w:after="240"/>
        <w:ind w:left="567" w:right="899"/>
        <w:jc w:val="both"/>
        <w:rPr>
          <w:rFonts w:ascii="Palatino Linotype" w:eastAsia="Calibri" w:hAnsi="Palatino Linotype" w:cs="Arial"/>
          <w:i/>
        </w:rPr>
      </w:pPr>
      <w:r w:rsidRPr="00294EAD">
        <w:rPr>
          <w:rFonts w:ascii="Palatino Linotype" w:eastAsia="Calibri" w:hAnsi="Palatino Linotype" w:cs="Arial"/>
          <w:i/>
        </w:rPr>
        <w:t xml:space="preserve">Para el caso de no localizar la información que se ordena en el inciso b), por no haberse concesionado el servicio, deberá hacerlo del conocimiento de </w:t>
      </w:r>
      <w:r w:rsidRPr="00294EAD">
        <w:rPr>
          <w:rFonts w:ascii="Palatino Linotype" w:eastAsia="Calibri" w:hAnsi="Palatino Linotype" w:cs="Arial"/>
          <w:b/>
          <w:i/>
        </w:rPr>
        <w:t>LA RECURRENTE.</w:t>
      </w:r>
      <w:r w:rsidRPr="00294EAD">
        <w:rPr>
          <w:rFonts w:ascii="Palatino Linotype" w:eastAsia="Calibri" w:hAnsi="Palatino Linotype" w:cs="Arial"/>
          <w:i/>
        </w:rPr>
        <w:t>”</w:t>
      </w:r>
    </w:p>
    <w:p w:rsidR="00691120" w:rsidRPr="00422BF0" w:rsidRDefault="00691120" w:rsidP="00691120">
      <w:pPr>
        <w:pStyle w:val="Prrafodelista"/>
        <w:rPr>
          <w:rFonts w:ascii="Palatino Linotype" w:hAnsi="Palatino Linotype"/>
          <w:i/>
          <w:sz w:val="24"/>
          <w:szCs w:val="24"/>
        </w:rPr>
      </w:pPr>
    </w:p>
    <w:p w:rsidR="005C253D" w:rsidRPr="005647B4"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F67DF2" w:rsidRPr="002A071E">
        <w:rPr>
          <w:rFonts w:ascii="Palatino Linotype" w:eastAsia="Times New Roman" w:hAnsi="Palatino Linotype" w:cs="Arial"/>
          <w:sz w:val="24"/>
        </w:rPr>
        <w:t xml:space="preserve"> </w:t>
      </w:r>
      <w:r w:rsidR="006E5F97">
        <w:rPr>
          <w:rFonts w:ascii="Palatino Linotype" w:eastAsia="Times New Roman" w:hAnsi="Palatino Linotype" w:cs="Arial"/>
          <w:sz w:val="24"/>
        </w:rPr>
        <w:t>a</w:t>
      </w:r>
      <w:r w:rsidR="005647B4">
        <w:rPr>
          <w:rFonts w:ascii="Palatino Linotype" w:eastAsia="Times New Roman" w:hAnsi="Palatino Linotype" w:cs="Arial"/>
          <w:sz w:val="24"/>
        </w:rPr>
        <w:t>l</w:t>
      </w:r>
      <w:r w:rsidR="008B415E">
        <w:rPr>
          <w:rFonts w:ascii="Palatino Linotype" w:eastAsia="Times New Roman" w:hAnsi="Palatino Linotype" w:cs="Arial"/>
          <w:sz w:val="24"/>
        </w:rPr>
        <w:t xml:space="preserve"> </w:t>
      </w:r>
      <w:r w:rsidR="005647B4">
        <w:rPr>
          <w:rFonts w:ascii="Palatino Linotype" w:eastAsia="Times New Roman" w:hAnsi="Palatino Linotype" w:cs="Arial"/>
          <w:sz w:val="24"/>
        </w:rPr>
        <w:t>inciso b)</w:t>
      </w:r>
      <w:r w:rsidR="002A071E" w:rsidRPr="002A071E">
        <w:rPr>
          <w:rFonts w:ascii="Palatino Linotype" w:eastAsia="Times New Roman" w:hAnsi="Palatino Linotype" w:cs="Arial"/>
          <w:sz w:val="24"/>
        </w:rPr>
        <w:t xml:space="preserve">: </w:t>
      </w:r>
    </w:p>
    <w:p w:rsidR="005F2240" w:rsidRDefault="005F2240" w:rsidP="005647B4">
      <w:pPr>
        <w:pStyle w:val="Prrafodelista"/>
        <w:spacing w:before="240" w:after="240" w:line="360" w:lineRule="auto"/>
        <w:ind w:left="567" w:right="900"/>
        <w:jc w:val="both"/>
        <w:rPr>
          <w:rFonts w:ascii="Palatino Linotype" w:eastAsia="Calibri" w:hAnsi="Palatino Linotype" w:cs="Arial"/>
          <w:i/>
        </w:rPr>
      </w:pPr>
    </w:p>
    <w:p w:rsidR="008B415E" w:rsidRDefault="005647B4" w:rsidP="005647B4">
      <w:pPr>
        <w:pStyle w:val="Prrafodelista"/>
        <w:spacing w:before="240" w:after="240" w:line="360" w:lineRule="auto"/>
        <w:ind w:left="567" w:right="900"/>
        <w:jc w:val="both"/>
        <w:rPr>
          <w:rFonts w:ascii="Palatino Linotype" w:eastAsia="Times New Roman" w:hAnsi="Palatino Linotype" w:cs="Arial"/>
          <w:i/>
          <w:sz w:val="24"/>
        </w:rPr>
      </w:pPr>
      <w:r w:rsidRPr="00294EAD">
        <w:rPr>
          <w:rFonts w:ascii="Palatino Linotype" w:eastAsia="Calibri" w:hAnsi="Palatino Linotype" w:cs="Arial"/>
          <w:i/>
        </w:rPr>
        <w:t xml:space="preserve">Para el caso de no localizar la información que se ordena en el inciso b), por no haberse concesionado el servicio, deberá hacerlo del conocimiento de </w:t>
      </w:r>
      <w:r w:rsidRPr="00294EAD">
        <w:rPr>
          <w:rFonts w:ascii="Palatino Linotype" w:eastAsia="Calibri" w:hAnsi="Palatino Linotype" w:cs="Arial"/>
          <w:b/>
          <w:i/>
        </w:rPr>
        <w:t>LA RECURRENTE.</w:t>
      </w:r>
    </w:p>
    <w:p w:rsidR="00422BF0" w:rsidRDefault="00422BF0" w:rsidP="005C253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 xml:space="preserve">ción que requiere el particular, debiendo </w:t>
      </w:r>
      <w:r w:rsidR="008216B4">
        <w:rPr>
          <w:rFonts w:ascii="Palatino Linotype" w:eastAsia="Calibri" w:hAnsi="Palatino Linotype" w:cs="Arial"/>
          <w:sz w:val="24"/>
          <w:szCs w:val="24"/>
        </w:rPr>
        <w:lastRenderedPageBreak/>
        <w:t>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3221167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w:t>
      </w:r>
      <w:r w:rsidRPr="00427B79">
        <w:rPr>
          <w:rFonts w:ascii="Palatino Linotype" w:hAnsi="Palatino Linotype"/>
          <w:sz w:val="24"/>
          <w:szCs w:val="24"/>
        </w:rPr>
        <w:lastRenderedPageBreak/>
        <w:t>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 xml:space="preserve">O bien pudiera suscitarse el supuesto aplicable al presente asunto, que la facultad sea de carácter potestativo o que su realización dependa de </w:t>
      </w:r>
      <w:r w:rsidRPr="00D35B4C">
        <w:rPr>
          <w:rFonts w:ascii="Palatino Linotype" w:hAnsi="Palatino Linotype"/>
          <w:sz w:val="24"/>
          <w:szCs w:val="24"/>
        </w:rPr>
        <w:lastRenderedPageBreak/>
        <w:t>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3221167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w:t>
      </w:r>
      <w:r w:rsidR="00D35B4C">
        <w:rPr>
          <w:rFonts w:ascii="Palatino Linotype" w:eastAsia="Calibri" w:hAnsi="Palatino Linotype" w:cs="Arial"/>
          <w:sz w:val="24"/>
          <w:szCs w:val="24"/>
        </w:rPr>
        <w:lastRenderedPageBreak/>
        <w:t>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A22908">
        <w:rPr>
          <w:rFonts w:ascii="Palatino Linotype" w:eastAsia="Calibri" w:hAnsi="Palatino Linotype" w:cs="Arial"/>
          <w:sz w:val="24"/>
          <w:szCs w:val="24"/>
          <w:lang w:val="es-ES_tradnl"/>
        </w:rPr>
        <w:lastRenderedPageBreak/>
        <w:t>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 xml:space="preserve">demostrar que </w:t>
      </w:r>
      <w:r w:rsidRPr="00427B79">
        <w:rPr>
          <w:rFonts w:ascii="Palatino Linotype" w:hAnsi="Palatino Linotype"/>
          <w:b/>
          <w:i/>
          <w:sz w:val="24"/>
          <w:szCs w:val="24"/>
        </w:rPr>
        <w:lastRenderedPageBreak/>
        <w:t>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xml:space="preserve">, fracciones y preceptos </w:t>
      </w:r>
      <w:r w:rsidRPr="0083488C">
        <w:rPr>
          <w:rFonts w:ascii="Palatino Linotype" w:hAnsi="Palatino Linotype" w:cs="Times New Roman"/>
          <w:i/>
        </w:rPr>
        <w:lastRenderedPageBreak/>
        <w:t>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w:t>
      </w:r>
      <w:r w:rsidRPr="00D10121">
        <w:rPr>
          <w:rFonts w:ascii="Palatino Linotype" w:hAnsi="Palatino Linotype"/>
          <w:sz w:val="24"/>
          <w:szCs w:val="24"/>
        </w:rPr>
        <w:lastRenderedPageBreak/>
        <w:t xml:space="preserve">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6" w:name="_Toc532211675"/>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E74E26" w:rsidRPr="00427B79" w:rsidRDefault="00E74E26" w:rsidP="00E6179D">
      <w:pPr>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C602B8" w:rsidRDefault="00C602B8" w:rsidP="00E6179D">
      <w:pPr>
        <w:rPr>
          <w:rFonts w:ascii="Palatino Linotype" w:hAnsi="Palatino Linotype"/>
          <w:color w:val="000000" w:themeColor="text1"/>
          <w:sz w:val="24"/>
          <w:szCs w:val="24"/>
        </w:rPr>
      </w:pPr>
    </w:p>
    <w:p w:rsidR="00797A31" w:rsidRPr="00E74E26" w:rsidRDefault="00A22908" w:rsidP="00E74E26">
      <w:pPr>
        <w:jc w:val="right"/>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797A31" w:rsidRPr="00E74E26"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799" w:rsidRDefault="009D5799" w:rsidP="00E82D3D">
      <w:pPr>
        <w:spacing w:after="0" w:line="240" w:lineRule="auto"/>
      </w:pPr>
      <w:r>
        <w:separator/>
      </w:r>
    </w:p>
  </w:endnote>
  <w:endnote w:type="continuationSeparator" w:id="0">
    <w:p w:rsidR="009D5799" w:rsidRDefault="009D579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02039">
              <w:rPr>
                <w:b/>
                <w:bCs/>
                <w:noProof/>
              </w:rPr>
              <w:t>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02039">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799" w:rsidRDefault="009D5799" w:rsidP="00E82D3D">
      <w:pPr>
        <w:spacing w:after="0" w:line="240" w:lineRule="auto"/>
      </w:pPr>
      <w:r>
        <w:separator/>
      </w:r>
    </w:p>
  </w:footnote>
  <w:footnote w:type="continuationSeparator" w:id="0">
    <w:p w:rsidR="009D5799" w:rsidRDefault="009D579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020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020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802039">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4">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20"/>
  </w:num>
  <w:num w:numId="3">
    <w:abstractNumId w:val="3"/>
  </w:num>
  <w:num w:numId="4">
    <w:abstractNumId w:val="25"/>
  </w:num>
  <w:num w:numId="5">
    <w:abstractNumId w:val="0"/>
  </w:num>
  <w:num w:numId="6">
    <w:abstractNumId w:val="1"/>
  </w:num>
  <w:num w:numId="7">
    <w:abstractNumId w:val="11"/>
  </w:num>
  <w:num w:numId="8">
    <w:abstractNumId w:val="14"/>
  </w:num>
  <w:num w:numId="9">
    <w:abstractNumId w:val="22"/>
  </w:num>
  <w:num w:numId="10">
    <w:abstractNumId w:val="13"/>
  </w:num>
  <w:num w:numId="11">
    <w:abstractNumId w:val="17"/>
  </w:num>
  <w:num w:numId="12">
    <w:abstractNumId w:val="7"/>
  </w:num>
  <w:num w:numId="13">
    <w:abstractNumId w:val="27"/>
  </w:num>
  <w:num w:numId="14">
    <w:abstractNumId w:val="26"/>
  </w:num>
  <w:num w:numId="15">
    <w:abstractNumId w:val="2"/>
  </w:num>
  <w:num w:numId="16">
    <w:abstractNumId w:val="10"/>
  </w:num>
  <w:num w:numId="17">
    <w:abstractNumId w:val="6"/>
  </w:num>
  <w:num w:numId="18">
    <w:abstractNumId w:val="8"/>
  </w:num>
  <w:num w:numId="19">
    <w:abstractNumId w:val="16"/>
  </w:num>
  <w:num w:numId="20">
    <w:abstractNumId w:val="5"/>
  </w:num>
  <w:num w:numId="21">
    <w:abstractNumId w:val="9"/>
  </w:num>
  <w:num w:numId="22">
    <w:abstractNumId w:val="23"/>
  </w:num>
  <w:num w:numId="23">
    <w:abstractNumId w:val="15"/>
  </w:num>
  <w:num w:numId="24">
    <w:abstractNumId w:val="4"/>
  </w:num>
  <w:num w:numId="25">
    <w:abstractNumId w:val="24"/>
  </w:num>
  <w:num w:numId="26">
    <w:abstractNumId w:val="18"/>
  </w:num>
  <w:num w:numId="27">
    <w:abstractNumId w:val="21"/>
  </w:num>
  <w:num w:numId="28">
    <w:abstractNumId w:val="12"/>
  </w:num>
  <w:num w:numId="29">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25E0E"/>
    <w:rsid w:val="0002788B"/>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5FDA"/>
    <w:rsid w:val="005441DE"/>
    <w:rsid w:val="005503D3"/>
    <w:rsid w:val="00554B28"/>
    <w:rsid w:val="005556CA"/>
    <w:rsid w:val="005565CE"/>
    <w:rsid w:val="005647B4"/>
    <w:rsid w:val="005650D9"/>
    <w:rsid w:val="00567957"/>
    <w:rsid w:val="005905A5"/>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5A51"/>
    <w:rsid w:val="00720D2F"/>
    <w:rsid w:val="00723CDA"/>
    <w:rsid w:val="00730193"/>
    <w:rsid w:val="00733675"/>
    <w:rsid w:val="007349D6"/>
    <w:rsid w:val="00740A46"/>
    <w:rsid w:val="00740DA3"/>
    <w:rsid w:val="00744BA1"/>
    <w:rsid w:val="00744F8C"/>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2039"/>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D4328"/>
    <w:rsid w:val="008E733E"/>
    <w:rsid w:val="008F212A"/>
    <w:rsid w:val="008F2800"/>
    <w:rsid w:val="0090262D"/>
    <w:rsid w:val="00906020"/>
    <w:rsid w:val="009143F1"/>
    <w:rsid w:val="00920E8D"/>
    <w:rsid w:val="00922197"/>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5799"/>
    <w:rsid w:val="009E0EE0"/>
    <w:rsid w:val="009F4960"/>
    <w:rsid w:val="009F6B96"/>
    <w:rsid w:val="009F7A37"/>
    <w:rsid w:val="009F7B67"/>
    <w:rsid w:val="00A02ED0"/>
    <w:rsid w:val="00A07D73"/>
    <w:rsid w:val="00A1541E"/>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51DF4"/>
    <w:rsid w:val="00E535E4"/>
    <w:rsid w:val="00E61519"/>
    <w:rsid w:val="00E6179D"/>
    <w:rsid w:val="00E676E0"/>
    <w:rsid w:val="00E74E26"/>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56870"/>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14B71-D4CB-44FA-A161-EF69763C5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17</Pages>
  <Words>3574</Words>
  <Characters>19661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51</cp:revision>
  <cp:lastPrinted>2018-09-03T16:21:00Z</cp:lastPrinted>
  <dcterms:created xsi:type="dcterms:W3CDTF">2018-10-22T18:42:00Z</dcterms:created>
  <dcterms:modified xsi:type="dcterms:W3CDTF">2019-01-30T00:07:00Z</dcterms:modified>
</cp:coreProperties>
</file>